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869" w:rsidRPr="00832869" w:rsidRDefault="00832869" w:rsidP="008328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869">
        <w:rPr>
          <w:rFonts w:ascii="Times New Roman" w:hAnsi="Times New Roman" w:cs="Times New Roman"/>
          <w:b/>
          <w:sz w:val="28"/>
          <w:szCs w:val="28"/>
        </w:rPr>
        <w:tab/>
        <w:t>БОРЬБА С КИБЕРМОШЕННИЧЕСТВОМ</w:t>
      </w:r>
    </w:p>
    <w:p w:rsidR="00832869" w:rsidRDefault="00832869" w:rsidP="008328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03DF" w:rsidRDefault="00832869" w:rsidP="008328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изменениями в ст.187 УК РФ к уголовной ответственности теперь будут привлекаться лица, совершающие неправомерные операции с использованием электронных кошельков и пластиковых карт, а также те, кто за вознаграждение передает электронные средства платежа третьим лицам.</w:t>
      </w:r>
    </w:p>
    <w:p w:rsidR="00832869" w:rsidRDefault="00832869" w:rsidP="00832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 может грозить до шести лет лишения свободы со штрафом до миллиона рублей.</w:t>
      </w:r>
    </w:p>
    <w:p w:rsidR="00832869" w:rsidRDefault="00832869" w:rsidP="008328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до трех лет лишения свободы будет грозить клиенту банка, передавшему из корыстных побуждений доступ к банковскому счету или карту другому лицу или совершившему операции по его указанию.</w:t>
      </w:r>
    </w:p>
    <w:p w:rsidR="00832869" w:rsidRPr="00832869" w:rsidRDefault="00832869" w:rsidP="008328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2869" w:rsidRPr="0083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69"/>
    <w:rsid w:val="001E2BB6"/>
    <w:rsid w:val="005F60D2"/>
    <w:rsid w:val="0083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88E3"/>
  <w15:chartTrackingRefBased/>
  <w15:docId w15:val="{7CCDE60B-4D36-4A6C-B9AA-AF2FF833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2025-07-07T07:34:00Z</dcterms:created>
  <dcterms:modified xsi:type="dcterms:W3CDTF">2025-07-07T07:46:00Z</dcterms:modified>
</cp:coreProperties>
</file>